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 w:rsidR="00AB69AD">
        <w:rPr>
          <w:rFonts w:ascii="Times New Roman" w:hAnsi="Times New Roman" w:cs="Times New Roman"/>
          <w:sz w:val="28"/>
          <w:szCs w:val="28"/>
        </w:rPr>
        <w:t>3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Tr="00D804BB">
        <w:tc>
          <w:tcPr>
            <w:tcW w:w="486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8A32B0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8A32B0">
            <w:pPr>
              <w:pStyle w:val="a9"/>
              <w:jc w:val="center"/>
            </w:pPr>
            <w:r>
              <w:t>63/1863</w:t>
            </w:r>
          </w:p>
        </w:tc>
      </w:tr>
    </w:tbl>
    <w:p w:rsidR="007F4925" w:rsidRDefault="007F492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55" w:rsidRDefault="00F1065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20108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20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>
        <w:rPr>
          <w:rFonts w:ascii="Times New Roman" w:hAnsi="Times New Roman" w:cs="Times New Roman"/>
          <w:sz w:val="28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201</w:t>
      </w:r>
      <w:r w:rsidR="00776D6D">
        <w:rPr>
          <w:rFonts w:ascii="Times New Roman" w:hAnsi="Times New Roman" w:cs="Times New Roman"/>
          <w:sz w:val="28"/>
          <w:szCs w:val="28"/>
        </w:rPr>
        <w:t>8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F4925" w:rsidRDefault="007F4925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393"/>
        <w:gridCol w:w="849"/>
        <w:gridCol w:w="713"/>
        <w:gridCol w:w="709"/>
        <w:gridCol w:w="1558"/>
        <w:gridCol w:w="1419"/>
      </w:tblGrid>
      <w:tr w:rsidR="00870515" w:rsidRPr="00365EEB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BB" w:rsidRDefault="00AB69AD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870515"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  <w:r w:rsidR="00D8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04B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капитального строительства </w:t>
            </w:r>
          </w:p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источников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B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D804B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B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70515" w:rsidRPr="00365EEB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280630,3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01007S1260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85134,5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39399,6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11069,8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03007S1320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108382,6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17643,8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732267,1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1100353900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496591,0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210510,6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25165,5</w:t>
            </w:r>
          </w:p>
        </w:tc>
      </w:tr>
      <w:tr w:rsidR="009816E7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бустройство территории Централь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набережной Волгограда им</w:t>
            </w:r>
            <w:r w:rsidR="005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62-</w:t>
            </w:r>
            <w:r w:rsidR="005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Армии. </w:t>
            </w:r>
            <w:r w:rsidR="0058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3-й этап</w:t>
            </w:r>
            <w:r w:rsidR="005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</w:t>
            </w:r>
            <w:r w:rsidR="0074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сооружения</w:t>
            </w:r>
            <w:bookmarkStart w:id="0" w:name="_GoBack"/>
            <w:bookmarkEnd w:id="0"/>
            <w:r w:rsidR="00D2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Участок №</w:t>
            </w:r>
            <w:r w:rsidR="00F1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«Стенки </w:t>
            </w:r>
            <w:proofErr w:type="spellStart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Родимцева</w:t>
            </w:r>
            <w:proofErr w:type="spellEnd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до речного по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длиной 1097,5 м). </w:t>
            </w:r>
            <w:proofErr w:type="gramStart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Берегоукрепител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сооружения, лестничные спуски, фонтаны, амфитеатр, мостовые перех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дождевая канализация, бытовая к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нализация, канализационная насосная станция, поливочный водопровод, наружный водовод, наружное освещение, ландшафтное благоустройство, устро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покрытия затапливаемой части набережной, магистральная дорога г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назна</w:t>
            </w:r>
            <w:r w:rsidR="0063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126026,4</w:t>
            </w:r>
          </w:p>
        </w:tc>
      </w:tr>
      <w:tr w:rsidR="00D2043F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43F" w:rsidRPr="00095A92" w:rsidRDefault="00D2043F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17642,0</w:t>
            </w:r>
          </w:p>
        </w:tc>
      </w:tr>
      <w:tr w:rsidR="00F10655" w:rsidRPr="00095A92" w:rsidTr="00F10655">
        <w:trPr>
          <w:trHeight w:val="255"/>
          <w:tblHeader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108371,8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 ул. </w:t>
            </w: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Санаторной</w:t>
            </w:r>
            <w:proofErr w:type="gram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Кировском ра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 Волгограда,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5287,2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5283,8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 245 мест в жилом районе «Родн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ковая долина» в Советском районе Во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гограда,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10928,8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10922,2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квартале 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-09-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 по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новского в Советском районе Волгогр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23183,6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23183,6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детского сада № 246 по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ул. </w:t>
            </w: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гавской</w:t>
            </w:r>
            <w:proofErr w:type="gram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в Советском районе Волгогр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 Реконструкция и надстройка этажа,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01007S1260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Детско-юношеского центра в Центральном ра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 Волгограда,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85134,5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84076,0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приспособление для ра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кукольного театра объ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культурного наследия регио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</w:t>
            </w:r>
            <w:r w:rsidR="007B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 «У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чилище Кули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r w:rsidR="000C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(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C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 «Победа»)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1895 г., рек. 1948 г., арх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</w:t>
            </w:r>
            <w:r w:rsidR="0031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 </w:t>
            </w:r>
            <w:proofErr w:type="spellStart"/>
            <w:r w:rsidR="0031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</w:t>
            </w:r>
            <w:proofErr w:type="spellEnd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 Волго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град, ул. </w:t>
            </w:r>
            <w:proofErr w:type="gramStart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gramEnd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03007S1320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площа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площадью 800 кв. м с детским спо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тивно-оздоровительным комплек</w:t>
            </w:r>
            <w:r w:rsidR="00D3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сом, Волгоград, </w:t>
            </w:r>
            <w:proofErr w:type="spellStart"/>
            <w:r w:rsidR="00D3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Университетский, 94,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2767,4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площа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площадью 800 кв. м с детским спо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тивно-оздоровительным комплексом, Волгоград,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Дымченко, 18,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2767,4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</w:t>
            </w:r>
          </w:p>
        </w:tc>
      </w:tr>
    </w:tbl>
    <w:p w:rsidR="00F10655" w:rsidRDefault="00F10655" w:rsidP="00F10655">
      <w:pPr>
        <w:spacing w:after="0" w:line="240" w:lineRule="auto"/>
        <w:rPr>
          <w:sz w:val="16"/>
        </w:rPr>
      </w:pPr>
    </w:p>
    <w:tbl>
      <w:tblPr>
        <w:tblW w:w="964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393"/>
        <w:gridCol w:w="849"/>
        <w:gridCol w:w="713"/>
        <w:gridCol w:w="709"/>
        <w:gridCol w:w="1558"/>
        <w:gridCol w:w="1419"/>
      </w:tblGrid>
      <w:tr w:rsidR="00F10655" w:rsidRPr="00095A92" w:rsidTr="00805BBA">
        <w:trPr>
          <w:trHeight w:val="255"/>
          <w:tblHeader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655" w:rsidRPr="00365EEB" w:rsidRDefault="00F10655" w:rsidP="00805B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площа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площадью 800 кв. м с детским спо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тивно-оздоровительным комплексом, Волгоград,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0D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Менжинского, 15,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площа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площадью 800 кв. м с детским спо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тивно-оздоровительным комплексом, Волгоград,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9B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Ангарской в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от ул. им. Римского-Корсакова до авт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заправочной 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Дзержин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121611,6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14103,6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107508,0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по ул. им. Ив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новского в границах участка от ул. Кач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евской до ул. </w:t>
            </w:r>
            <w:proofErr w:type="gramStart"/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Казахской</w:t>
            </w:r>
            <w:proofErr w:type="gramEnd"/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Советском районе Волгограда,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DD2DCB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109122,6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8889,9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80009,1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20223,6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участка дороги в гран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от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До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брушина до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Т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ленева в ЖК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Долина-1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Советском районе Волгограда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4941,9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4938,4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Героев Тулы (от дор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 на </w:t>
            </w:r>
            <w:r w:rsidR="004B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Волжский до ул. </w:t>
            </w:r>
            <w:proofErr w:type="spell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63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316591,0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1100353900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316591,0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</w:t>
            </w:r>
            <w:r w:rsidR="00F1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Тулы до выхода на 3 Пр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дольную магистраль),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</w:t>
            </w:r>
          </w:p>
        </w:tc>
      </w:tr>
      <w:tr w:rsidR="002749E5" w:rsidRPr="00095A92" w:rsidTr="00F10655">
        <w:trPr>
          <w:cantSplit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1100353900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</w:t>
            </w:r>
          </w:p>
        </w:tc>
      </w:tr>
      <w:tr w:rsidR="002749E5" w:rsidRPr="00095A92" w:rsidTr="00905244">
        <w:trPr>
          <w:cantSplit/>
          <w:trHeight w:val="99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106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1012897,4</w:t>
            </w:r>
          </w:p>
        </w:tc>
      </w:tr>
    </w:tbl>
    <w:p w:rsidR="002749E5" w:rsidRPr="001D2AB3" w:rsidRDefault="002749E5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10655" w:rsidRPr="001D2AB3" w:rsidRDefault="00F10655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10655" w:rsidRPr="001D2AB3" w:rsidRDefault="00F10655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658A" w:rsidRPr="001D2AB3" w:rsidRDefault="002749E5" w:rsidP="0063301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D2AB3">
        <w:rPr>
          <w:rFonts w:ascii="Times New Roman" w:hAnsi="Times New Roman" w:cs="Times New Roman"/>
          <w:sz w:val="28"/>
          <w:szCs w:val="28"/>
        </w:rPr>
        <w:t>Г</w:t>
      </w:r>
      <w:r w:rsidR="0089658A" w:rsidRPr="001D2AB3">
        <w:rPr>
          <w:rFonts w:ascii="Times New Roman" w:hAnsi="Times New Roman" w:cs="Times New Roman"/>
          <w:sz w:val="28"/>
          <w:szCs w:val="28"/>
        </w:rPr>
        <w:t xml:space="preserve">лава Волгограда                                   </w:t>
      </w:r>
      <w:r w:rsidR="00612F63" w:rsidRPr="001D2AB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89658A" w:rsidRPr="001D2AB3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F10655" w:rsidRPr="001D2AB3" w:rsidRDefault="00F10655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F10655" w:rsidRPr="001D2AB3" w:rsidSect="00EB2CD3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F4" w:rsidRDefault="002460F4" w:rsidP="00944A72">
      <w:pPr>
        <w:spacing w:after="0" w:line="240" w:lineRule="auto"/>
      </w:pPr>
      <w:r>
        <w:separator/>
      </w:r>
    </w:p>
  </w:endnote>
  <w:end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F4" w:rsidRDefault="002460F4" w:rsidP="00944A72">
      <w:pPr>
        <w:spacing w:after="0" w:line="240" w:lineRule="auto"/>
      </w:pPr>
      <w:r>
        <w:separator/>
      </w:r>
    </w:p>
  </w:footnote>
  <w:foot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F4" w:rsidRPr="006D2168" w:rsidRDefault="002460F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514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70ED"/>
    <w:rsid w:val="000C6095"/>
    <w:rsid w:val="000D04D5"/>
    <w:rsid w:val="000D22C1"/>
    <w:rsid w:val="001460EA"/>
    <w:rsid w:val="00156112"/>
    <w:rsid w:val="00173464"/>
    <w:rsid w:val="001D2AB3"/>
    <w:rsid w:val="0020108E"/>
    <w:rsid w:val="00225BA3"/>
    <w:rsid w:val="002460F4"/>
    <w:rsid w:val="00250763"/>
    <w:rsid w:val="002749E5"/>
    <w:rsid w:val="00277188"/>
    <w:rsid w:val="002926ED"/>
    <w:rsid w:val="002C2665"/>
    <w:rsid w:val="00300965"/>
    <w:rsid w:val="00311B01"/>
    <w:rsid w:val="0033774A"/>
    <w:rsid w:val="00363BD1"/>
    <w:rsid w:val="003C6C55"/>
    <w:rsid w:val="003C6E49"/>
    <w:rsid w:val="0040356B"/>
    <w:rsid w:val="004B69C7"/>
    <w:rsid w:val="004B6E70"/>
    <w:rsid w:val="00504CCC"/>
    <w:rsid w:val="005530C8"/>
    <w:rsid w:val="005878B2"/>
    <w:rsid w:val="0060309A"/>
    <w:rsid w:val="00612F63"/>
    <w:rsid w:val="00632C0F"/>
    <w:rsid w:val="0063301A"/>
    <w:rsid w:val="006502A6"/>
    <w:rsid w:val="00693AFA"/>
    <w:rsid w:val="006D2168"/>
    <w:rsid w:val="00707292"/>
    <w:rsid w:val="00725EDC"/>
    <w:rsid w:val="00726F99"/>
    <w:rsid w:val="00743D14"/>
    <w:rsid w:val="00745145"/>
    <w:rsid w:val="00776D6D"/>
    <w:rsid w:val="007A50F9"/>
    <w:rsid w:val="007B2FCC"/>
    <w:rsid w:val="007D2266"/>
    <w:rsid w:val="007D6FCC"/>
    <w:rsid w:val="007F4925"/>
    <w:rsid w:val="00823A97"/>
    <w:rsid w:val="00844CA4"/>
    <w:rsid w:val="00870515"/>
    <w:rsid w:val="008770F6"/>
    <w:rsid w:val="00891817"/>
    <w:rsid w:val="0089658A"/>
    <w:rsid w:val="008A32B0"/>
    <w:rsid w:val="008A7D04"/>
    <w:rsid w:val="00905244"/>
    <w:rsid w:val="00925FDF"/>
    <w:rsid w:val="00944A72"/>
    <w:rsid w:val="009816E7"/>
    <w:rsid w:val="009B0D74"/>
    <w:rsid w:val="009E44DA"/>
    <w:rsid w:val="00A06BCD"/>
    <w:rsid w:val="00A17E66"/>
    <w:rsid w:val="00A2175C"/>
    <w:rsid w:val="00A40FF8"/>
    <w:rsid w:val="00A418F2"/>
    <w:rsid w:val="00A6478B"/>
    <w:rsid w:val="00A66F3B"/>
    <w:rsid w:val="00AB6273"/>
    <w:rsid w:val="00AB69AD"/>
    <w:rsid w:val="00AD66A0"/>
    <w:rsid w:val="00AE00DC"/>
    <w:rsid w:val="00BD5951"/>
    <w:rsid w:val="00BE7658"/>
    <w:rsid w:val="00BF7E31"/>
    <w:rsid w:val="00C15AFC"/>
    <w:rsid w:val="00C21A9C"/>
    <w:rsid w:val="00C90E5D"/>
    <w:rsid w:val="00CD185A"/>
    <w:rsid w:val="00CE7159"/>
    <w:rsid w:val="00D2043F"/>
    <w:rsid w:val="00D3321D"/>
    <w:rsid w:val="00D34640"/>
    <w:rsid w:val="00D610E8"/>
    <w:rsid w:val="00D668E4"/>
    <w:rsid w:val="00D804BB"/>
    <w:rsid w:val="00DA5E43"/>
    <w:rsid w:val="00DC6B47"/>
    <w:rsid w:val="00DD2DCB"/>
    <w:rsid w:val="00DE579D"/>
    <w:rsid w:val="00DF0BA2"/>
    <w:rsid w:val="00E61DF2"/>
    <w:rsid w:val="00E7476C"/>
    <w:rsid w:val="00EA387E"/>
    <w:rsid w:val="00EB2CD3"/>
    <w:rsid w:val="00EC01AA"/>
    <w:rsid w:val="00F10655"/>
    <w:rsid w:val="00F3460F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13</FullName>
  </documentManagement>
</p:properties>
</file>

<file path=customXml/itemProps1.xml><?xml version="1.0" encoding="utf-8"?>
<ds:datastoreItem xmlns:ds="http://schemas.openxmlformats.org/officeDocument/2006/customXml" ds:itemID="{CB1029BE-9A93-4007-AE3E-20CEA9CEAEE0}"/>
</file>

<file path=customXml/itemProps2.xml><?xml version="1.0" encoding="utf-8"?>
<ds:datastoreItem xmlns:ds="http://schemas.openxmlformats.org/officeDocument/2006/customXml" ds:itemID="{980D381D-4315-4DE4-B56A-142E65B662FD}"/>
</file>

<file path=customXml/itemProps3.xml><?xml version="1.0" encoding="utf-8"?>
<ds:datastoreItem xmlns:ds="http://schemas.openxmlformats.org/officeDocument/2006/customXml" ds:itemID="{434576CB-577F-4B32-B437-C5B03B18BF14}"/>
</file>

<file path=customXml/itemProps4.xml><?xml version="1.0" encoding="utf-8"?>
<ds:datastoreItem xmlns:ds="http://schemas.openxmlformats.org/officeDocument/2006/customXml" ds:itemID="{53619521-B5FD-4D05-863F-1F9A8F312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57</cp:revision>
  <cp:lastPrinted>2017-11-15T04:51:00Z</cp:lastPrinted>
  <dcterms:created xsi:type="dcterms:W3CDTF">2016-12-27T07:20:00Z</dcterms:created>
  <dcterms:modified xsi:type="dcterms:W3CDTF">2017-12-20T13:55:00Z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