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1435DC" w:rsidRDefault="00715E23" w:rsidP="001435DC">
      <w:pPr>
        <w:jc w:val="center"/>
        <w:rPr>
          <w:caps/>
          <w:sz w:val="32"/>
          <w:szCs w:val="32"/>
        </w:rPr>
      </w:pPr>
      <w:r w:rsidRPr="001435DC">
        <w:rPr>
          <w:caps/>
          <w:sz w:val="32"/>
          <w:szCs w:val="32"/>
        </w:rPr>
        <w:t>ВОЛГОГРАДСКая городская дума</w:t>
      </w:r>
    </w:p>
    <w:p w:rsidR="00715E23" w:rsidRPr="001435DC" w:rsidRDefault="00715E23" w:rsidP="001435DC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435DC" w:rsidRDefault="00715E23" w:rsidP="001435DC">
      <w:pPr>
        <w:pBdr>
          <w:bottom w:val="double" w:sz="12" w:space="1" w:color="auto"/>
        </w:pBdr>
        <w:jc w:val="center"/>
        <w:rPr>
          <w:b/>
          <w:sz w:val="32"/>
        </w:rPr>
      </w:pPr>
      <w:r w:rsidRPr="001435DC">
        <w:rPr>
          <w:b/>
          <w:sz w:val="32"/>
        </w:rPr>
        <w:t>РЕШЕНИЕ</w:t>
      </w:r>
    </w:p>
    <w:p w:rsidR="00715E23" w:rsidRPr="001435DC" w:rsidRDefault="00715E23" w:rsidP="001435DC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435DC" w:rsidRDefault="00556EF0" w:rsidP="001435DC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435DC">
        <w:rPr>
          <w:sz w:val="16"/>
          <w:szCs w:val="16"/>
        </w:rPr>
        <w:t>400066, Волгоград, пр-кт им.</w:t>
      </w:r>
      <w:r w:rsidR="0010551E" w:rsidRPr="001435DC">
        <w:rPr>
          <w:sz w:val="16"/>
          <w:szCs w:val="16"/>
        </w:rPr>
        <w:t xml:space="preserve"> </w:t>
      </w:r>
      <w:r w:rsidRPr="001435DC">
        <w:rPr>
          <w:sz w:val="16"/>
          <w:szCs w:val="16"/>
        </w:rPr>
        <w:t xml:space="preserve">В.И.Ленина, д. 10, тел./факс (8442) 38-08-89, </w:t>
      </w:r>
      <w:r w:rsidRPr="001435DC">
        <w:rPr>
          <w:sz w:val="16"/>
          <w:szCs w:val="16"/>
          <w:lang w:val="en-US"/>
        </w:rPr>
        <w:t>E</w:t>
      </w:r>
      <w:r w:rsidRPr="001435DC">
        <w:rPr>
          <w:sz w:val="16"/>
          <w:szCs w:val="16"/>
        </w:rPr>
        <w:t>-</w:t>
      </w:r>
      <w:r w:rsidRPr="001435DC">
        <w:rPr>
          <w:sz w:val="16"/>
          <w:szCs w:val="16"/>
          <w:lang w:val="en-US"/>
        </w:rPr>
        <w:t>mail</w:t>
      </w:r>
      <w:r w:rsidRPr="001435DC">
        <w:rPr>
          <w:sz w:val="16"/>
          <w:szCs w:val="16"/>
        </w:rPr>
        <w:t xml:space="preserve">: </w:t>
      </w:r>
      <w:r w:rsidR="005E5400" w:rsidRPr="001435DC">
        <w:rPr>
          <w:sz w:val="16"/>
          <w:szCs w:val="16"/>
          <w:lang w:val="en-US"/>
        </w:rPr>
        <w:t>gs</w:t>
      </w:r>
      <w:r w:rsidR="005E5400" w:rsidRPr="001435DC">
        <w:rPr>
          <w:sz w:val="16"/>
          <w:szCs w:val="16"/>
        </w:rPr>
        <w:t>_</w:t>
      </w:r>
      <w:r w:rsidR="005E5400" w:rsidRPr="001435DC">
        <w:rPr>
          <w:sz w:val="16"/>
          <w:szCs w:val="16"/>
          <w:lang w:val="en-US"/>
        </w:rPr>
        <w:t>kanc</w:t>
      </w:r>
      <w:r w:rsidR="005E5400" w:rsidRPr="001435DC">
        <w:rPr>
          <w:sz w:val="16"/>
          <w:szCs w:val="16"/>
        </w:rPr>
        <w:t>@</w:t>
      </w:r>
      <w:r w:rsidR="005E5400" w:rsidRPr="001435DC">
        <w:rPr>
          <w:sz w:val="16"/>
          <w:szCs w:val="16"/>
          <w:lang w:val="en-US"/>
        </w:rPr>
        <w:t>volgsovet</w:t>
      </w:r>
      <w:r w:rsidR="005E5400" w:rsidRPr="001435DC">
        <w:rPr>
          <w:sz w:val="16"/>
          <w:szCs w:val="16"/>
        </w:rPr>
        <w:t>.</w:t>
      </w:r>
      <w:r w:rsidR="005E5400" w:rsidRPr="001435DC">
        <w:rPr>
          <w:sz w:val="16"/>
          <w:szCs w:val="16"/>
          <w:lang w:val="en-US"/>
        </w:rPr>
        <w:t>ru</w:t>
      </w:r>
    </w:p>
    <w:p w:rsidR="00715E23" w:rsidRPr="001435DC" w:rsidRDefault="00715E23" w:rsidP="001435DC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435DC" w:rsidTr="002E7342">
        <w:tc>
          <w:tcPr>
            <w:tcW w:w="486" w:type="dxa"/>
            <w:vAlign w:val="bottom"/>
            <w:hideMark/>
          </w:tcPr>
          <w:p w:rsidR="00715E23" w:rsidRPr="001435DC" w:rsidRDefault="00715E23" w:rsidP="001435DC">
            <w:pPr>
              <w:pStyle w:val="aa"/>
              <w:jc w:val="center"/>
            </w:pPr>
            <w:r w:rsidRPr="001435DC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435DC" w:rsidRDefault="001435DC" w:rsidP="001435DC">
            <w:pPr>
              <w:pStyle w:val="aa"/>
              <w:jc w:val="center"/>
            </w:pPr>
            <w:r w:rsidRPr="001435DC">
              <w:t>19.07.2023</w:t>
            </w:r>
          </w:p>
        </w:tc>
        <w:tc>
          <w:tcPr>
            <w:tcW w:w="434" w:type="dxa"/>
            <w:vAlign w:val="bottom"/>
            <w:hideMark/>
          </w:tcPr>
          <w:p w:rsidR="00715E23" w:rsidRPr="001435DC" w:rsidRDefault="00715E23" w:rsidP="001435DC">
            <w:pPr>
              <w:pStyle w:val="aa"/>
              <w:jc w:val="center"/>
            </w:pPr>
            <w:r w:rsidRPr="001435DC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435DC" w:rsidRDefault="001435DC" w:rsidP="001435DC">
            <w:pPr>
              <w:pStyle w:val="aa"/>
              <w:jc w:val="center"/>
            </w:pPr>
            <w:r w:rsidRPr="001435DC">
              <w:t>91/</w:t>
            </w:r>
            <w:r w:rsidR="00BA560D">
              <w:t>1242</w:t>
            </w:r>
          </w:p>
        </w:tc>
      </w:tr>
    </w:tbl>
    <w:p w:rsidR="004D75D6" w:rsidRPr="001435DC" w:rsidRDefault="004D75D6" w:rsidP="001435DC">
      <w:pPr>
        <w:ind w:left="4820"/>
        <w:rPr>
          <w:sz w:val="28"/>
          <w:szCs w:val="28"/>
        </w:rPr>
      </w:pPr>
    </w:p>
    <w:p w:rsidR="001435DC" w:rsidRPr="001435DC" w:rsidRDefault="001435DC" w:rsidP="001435DC">
      <w:pPr>
        <w:ind w:right="5103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О внесении изменений в решение Волгоградской городской Думы        от 22.12.2022 № 80/1125 «О бюджете Волгограда на 2023 год и на плановый период 2024 и 2025 годов»</w:t>
      </w:r>
    </w:p>
    <w:p w:rsidR="001435DC" w:rsidRPr="001435DC" w:rsidRDefault="001435DC" w:rsidP="001435DC">
      <w:pPr>
        <w:tabs>
          <w:tab w:val="left" w:pos="9639"/>
        </w:tabs>
        <w:rPr>
          <w:sz w:val="28"/>
          <w:szCs w:val="28"/>
        </w:rPr>
      </w:pPr>
    </w:p>
    <w:p w:rsidR="001435DC" w:rsidRPr="001435DC" w:rsidRDefault="001435DC" w:rsidP="001435D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</w:t>
      </w:r>
      <w:r w:rsidR="002F692D">
        <w:rPr>
          <w:sz w:val="28"/>
          <w:szCs w:val="28"/>
        </w:rPr>
        <w:t>24, 26</w:t>
      </w:r>
      <w:r w:rsidRPr="001435DC"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1435DC" w:rsidRPr="001435DC" w:rsidRDefault="001435DC" w:rsidP="001435DC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DC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435DC" w:rsidRPr="001435DC" w:rsidRDefault="001435DC" w:rsidP="001435DC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1435DC">
        <w:rPr>
          <w:rFonts w:ascii="Times New Roman" w:hAnsi="Times New Roman" w:cs="Times New Roman"/>
          <w:sz w:val="28"/>
          <w:szCs w:val="28"/>
        </w:rPr>
        <w:t>от 22.12.2022</w:t>
      </w:r>
      <w:r>
        <w:rPr>
          <w:rFonts w:ascii="Times New Roman" w:hAnsi="Times New Roman" w:cs="Times New Roman"/>
          <w:sz w:val="28"/>
          <w:szCs w:val="28"/>
        </w:rPr>
        <w:t xml:space="preserve">           № </w:t>
      </w:r>
      <w:r w:rsidRPr="001435DC">
        <w:rPr>
          <w:rFonts w:ascii="Times New Roman" w:hAnsi="Times New Roman" w:cs="Times New Roman"/>
          <w:sz w:val="28"/>
          <w:szCs w:val="28"/>
        </w:rPr>
        <w:t>80/1125 «О бюджете Волгограда на 2023 год и на плановый период 2024 и 2025 годов» следующие изменения:</w:t>
      </w:r>
    </w:p>
    <w:p w:rsidR="001435DC" w:rsidRPr="001435DC" w:rsidRDefault="001435DC" w:rsidP="001435D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1435DC" w:rsidRPr="001435DC" w:rsidRDefault="001435DC" w:rsidP="001435D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1435DC" w:rsidRPr="001435DC" w:rsidRDefault="001435DC" w:rsidP="001435D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1435DC" w:rsidRPr="001435DC" w:rsidRDefault="001435DC" w:rsidP="001435DC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«прогнозируемый общий объем доходов бюджета Волгограда в сумме 38674495,12702 тыс. рублей, в том числе безвозмездные поступления из областного бюджета – 30165405,22702 тыс. рублей и поступления налоговых доходов по дополнительным нормативам отчислений – 2601,4 тыс. рублей;».</w:t>
      </w:r>
    </w:p>
    <w:p w:rsidR="001435DC" w:rsidRPr="001435DC" w:rsidRDefault="001435DC" w:rsidP="001435D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bCs/>
          <w:caps/>
          <w:sz w:val="28"/>
          <w:szCs w:val="28"/>
        </w:rPr>
        <w:t xml:space="preserve">1.1.1.2. </w:t>
      </w:r>
      <w:r w:rsidRPr="001435DC">
        <w:rPr>
          <w:rFonts w:ascii="Times New Roman" w:hAnsi="Times New Roman" w:cs="Times New Roman"/>
          <w:sz w:val="28"/>
          <w:szCs w:val="28"/>
        </w:rPr>
        <w:t>В абзаце третьем слова «34786482,0 тыс. рублей» заменить словами «38977495,12702 тыс. рублей».</w:t>
      </w:r>
    </w:p>
    <w:p w:rsidR="001435DC" w:rsidRPr="001435DC" w:rsidRDefault="001435DC" w:rsidP="001435D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1.1.1.3. Абзац четвертый изложить в следующей редакции: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 xml:space="preserve">«прогнозируемый дефицит бюджета Волгограда в сумме </w:t>
      </w:r>
      <w:r w:rsidRPr="001435DC">
        <w:rPr>
          <w:sz w:val="28"/>
          <w:szCs w:val="28"/>
        </w:rPr>
        <w:br/>
        <w:t>303000,0 тыс. рублей, или 3,6%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отчислений.».</w:t>
      </w:r>
    </w:p>
    <w:p w:rsidR="001435DC" w:rsidRPr="001435DC" w:rsidRDefault="001435DC" w:rsidP="001435DC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 xml:space="preserve">1.1.2.1. В </w:t>
      </w:r>
      <w:hyperlink r:id="rId8" w:history="1">
        <w:r w:rsidRPr="001435DC">
          <w:rPr>
            <w:rStyle w:val="ae"/>
            <w:color w:val="auto"/>
            <w:sz w:val="28"/>
            <w:szCs w:val="28"/>
            <w:u w:val="none"/>
          </w:rPr>
          <w:t>абзаце втором</w:t>
        </w:r>
      </w:hyperlink>
      <w:r w:rsidRPr="001435DC">
        <w:rPr>
          <w:sz w:val="28"/>
          <w:szCs w:val="28"/>
        </w:rPr>
        <w:t xml:space="preserve"> слова «35493019,3 тыс. рублей» заменить словами «36679925,83745 тыс. рублей», слова «26832377,8 тыс. рублей» заменить словами «28019284,33745 тыс. рублей», слова </w:t>
      </w:r>
      <w:r>
        <w:rPr>
          <w:sz w:val="28"/>
          <w:szCs w:val="28"/>
        </w:rPr>
        <w:t xml:space="preserve">                         </w:t>
      </w:r>
      <w:r w:rsidRPr="001435DC">
        <w:rPr>
          <w:sz w:val="28"/>
          <w:szCs w:val="28"/>
        </w:rPr>
        <w:t xml:space="preserve">«26386937,0 тыс. рублей» заменить словами «23193135,83527 тыс. рублей», слова «17274243,2 тыс. рублей» заменить словами </w:t>
      </w:r>
      <w:r>
        <w:rPr>
          <w:sz w:val="28"/>
          <w:szCs w:val="28"/>
        </w:rPr>
        <w:t xml:space="preserve">                                    </w:t>
      </w:r>
      <w:r w:rsidRPr="001435DC">
        <w:rPr>
          <w:sz w:val="28"/>
          <w:szCs w:val="28"/>
        </w:rPr>
        <w:t>«14080442,03527 тыс. рублей».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lastRenderedPageBreak/>
        <w:t xml:space="preserve">1.1.2.2. В </w:t>
      </w:r>
      <w:hyperlink r:id="rId9" w:history="1">
        <w:r w:rsidRPr="001435DC">
          <w:rPr>
            <w:rStyle w:val="ae"/>
            <w:color w:val="auto"/>
            <w:sz w:val="28"/>
            <w:szCs w:val="28"/>
            <w:u w:val="none"/>
          </w:rPr>
          <w:t>абзаце третьем</w:t>
        </w:r>
      </w:hyperlink>
      <w:r w:rsidRPr="001435DC">
        <w:rPr>
          <w:sz w:val="28"/>
          <w:szCs w:val="28"/>
        </w:rPr>
        <w:t xml:space="preserve"> слова «35493019,3 тыс. рублей» заменить словами «36679925,83745 тыс. рублей», слова «26386937,0 тыс. рублей» заменить словами «23193135,83527 тыс. рублей».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1.2. Пункт 4 изложить в следующей редакции: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 xml:space="preserve">«4. Установить, что в ходе исполнения бюджета Волгограда в 2023 году, помимо случаев, предусмотренных </w:t>
      </w:r>
      <w:hyperlink r:id="rId10" w:history="1">
        <w:r w:rsidRPr="001435DC">
          <w:rPr>
            <w:sz w:val="28"/>
            <w:szCs w:val="28"/>
          </w:rPr>
          <w:t>статьей 217</w:t>
        </w:r>
      </w:hyperlink>
      <w:r w:rsidRPr="001435DC">
        <w:rPr>
          <w:sz w:val="28"/>
          <w:szCs w:val="28"/>
        </w:rPr>
        <w:t xml:space="preserve"> Бюджетного кодекса Российской Федерации, в сводную бюджетную роспись бюджета Волгограда могут быть внесены изменения без внесения изменений в решение Волгоградской городской Думы о бюджете Волгограда: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недостаточности бюджетных ассигнований на выплату пенсий за выслугу лет муниципальным служащим, на исполнение мер социальной поддержки (за исключением публичных нормативных обязательств и дополнительных мер социальной помощи жителям Волгограда), на оплату труда в связи с изменением законодательства и иных нормативных правовых актов, на начисления на выплаты по оплате труда, на оплату принятых и неисполненных до 01.01.2023 бюджетных обязательств в пределах общего объема бюджетных ассигнований, предусмотренных главному распорядителю бюджетных средств Волгограда, и (или) между главными распорядителями бюджетных средств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перераспределения бюджетных ассигнований на выплату пособий при увольнении, других пособий и компенсаций в связи с реформированием, оптимизацией численности работников органов местного самоуправления Волгограда и муниципальных казенных учреждений, а также в целях предоставления субсидии на иные цели для выплаты пособий при увольнении, других пособий и компенсаций в связи с реорганизацией, оптимизацией численности работников муниципальных бюджетных (автономных) учреждений в пределах средств, предусмотренных главному распорядителю бюджетных средств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 xml:space="preserve">в случае необходимости перераспределения бюджетных ассигнований для доведения средней заработной платы отдельных категорий работников муниципальных учреждений Волгограда до соответствующего уровня средней заработной платы в Волгоградской области в целях исполнения Указов Президента Российской Федерации от 07 мая 2012 г. № 597 «О мероприятиях по реализации государственной социальной политики», от 01 июня 2012 г. </w:t>
      </w:r>
      <w:r>
        <w:rPr>
          <w:sz w:val="28"/>
          <w:szCs w:val="28"/>
        </w:rPr>
        <w:t xml:space="preserve">       </w:t>
      </w:r>
      <w:r w:rsidRPr="001435DC">
        <w:rPr>
          <w:sz w:val="28"/>
          <w:szCs w:val="28"/>
        </w:rPr>
        <w:t xml:space="preserve">№ 761 «О Национальной стратегии действий в интересах детей на </w:t>
      </w:r>
      <w:r>
        <w:rPr>
          <w:sz w:val="28"/>
          <w:szCs w:val="28"/>
        </w:rPr>
        <w:t xml:space="preserve">                 </w:t>
      </w:r>
      <w:r w:rsidRPr="001435DC">
        <w:rPr>
          <w:sz w:val="28"/>
          <w:szCs w:val="28"/>
        </w:rPr>
        <w:t>2012–2017 годы» в пределах общего объема бюджетных ассигнований, предусмотренных главным распорядителям бюджетных средств Волгограда, и (или) между главными распорядителями бюджетных средств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исполнения решения налогового органа о взыскании налога, сбора, страховых взносов, пени, штрафа, процентов, предусматривающего обращение взыскания на средства бюджета Волгограда, а также на основании требования налогового органа об уплате налога, сбора, страховых взносов, пени, штрафа, процентов;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исполнения судебных актов и иных исполнительных документов по требованиям неимущественного характера, а также не связанным с передачей имущества;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исполнения исполнительных документов по делам об административных правонарушениях, предусматривающих обращение взыскания на средства бюджета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поступлением в доход бюджета Волгограда в текущем финансовом году средств федерального и (или) областного бюджетов, связанных с предоставлением муниципального жилищного фонда отдельным категориям граждан, обеспечение жильем которых отнесено к расходным обязательствам Российской Федерации или субъекта Российской Федерации, с целью приобретения жилых помещений во исполнение судебных решений и оценки стоимости жилых помещений;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бюджете, а также на основании доведенных ассигнований и (или) лимитов бюджетных обязательств по средствам вышестоящих бюджетов (включая расходы в форме предоставления субсидий юридическим лицам);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уточнением кодов бюджетной классификации, по которым отражаются расходы за счет средств вышестоящих бюджетов, на основании приказа комитета финансов Волгоградской области, определяющего порядок применения бюджетной классификации расходов Волгоградской области, и (или) уведомлений по расчетам между бюджетами;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необходимостью выполнения условий софинансирования средств вышестоящих бюджетов, предоставляемых бюджету Волгограда, и остатков средств вышестоящих бюджетов, сложившихся на начало года, в том числе путем введения новых кодов бюджетной классификации расходов (включая расходы в форме предоставления субсидий юридическим лицам), путем перераспределения бюджетных ассигнований по кодам бюджетной классификации расходов (включая расходы в форме предоставления субсидий юридическим лицам) и между главными распорядителями бюджетных средств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необходимостью возврата средств вышестоящих бюджетов, использованных незаконно или не по целевому назначению, а также по иным основаниям, в том числе путем перераспределения бюджетных ассигнований между главными распорядителями бюджетных средств Волгограда, путем перераспределения бюджетных ассигнований, расходование которых предполагается в форме предоставления субсидий юридическим лицам, а также путем перераспределения бюджетных ассигнований, предусмотренных на социальное обеспечение населения, в случае неполного их использования (за исключением средств, предусмотренных на финансовое обеспечение публичных нормативных обязательств);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средств вышестоящих бюджетов по кодам бюджетной классификации расходов в пределах средств, предусмотренных главному распорядителю бюджетных средств Волгограда, в том числе на основании заключенных дополнительных соглашений о предоставлении средств вышестоящих бюджетов;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средств вышестоящих бюджетов, предусмотренных по одному коду направления расходов классификации расходов бюджета (за исключением субвенций), между главными распорядителями бюджетных средств Волгограда на основании распоряжения администрации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средств вышестоящих бюджетов, предусмотренных на осуществление переданных государственных полномочий, между главными распорядителями бюджетных средств Волгограда на основании предложений уполномоченных органов по вопросам предоставления и расходования субвенций;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перераспределения бюджетных ассигнований, предусмотренных на осуществление бюджетных инвестиций и предоставление субсидий на осуществление капитальных вложений в объекты муниципальной собственности Волгограда, на основании принятых решений о подготовке и реализации бюджетных инвестиций и решений о предоставлении субсидий на осуществление капитальных вложений в объекты муниципальной собственности Волгограда, а также изменений, внесенных в данные решения;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необходимостью перераспределения бюджетных ассигнований для обеспечения капитальных вложений в объекты муниципальной собственности, осуществляемых с участием средств вышестоящих бюджетов;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созданием муниципального казенного учреждения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созданием муниципального бюджетного (автономного) учреждения в целях предоставления субсидий на финансовое обеспечение выполнения муниципального задания и субсидий на иные цели в пределах средств, предусмотренных главному распорядителю бюджетных средств Волгограда, на которого будет возложена функция учредителя;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изменением видов деятельности муниципального учреждения, в том числе в случае изменения учредителя (главного распорядителя бюджетных средств Волгограда) для данного учреждения, в пределах средств, предусмотренных на предоставление субсидий данному учреждению (на обеспечение деятельности данного учреждения),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необходимостью обеспечения деятельности муниципальных учреждений Волгограда, подлежащих передаче из муниципальной собственности Волгограда в государственную собственность Волгоградской области, в пределах средств, предусмотренных главным распорядителям бюджетных средств Волгограда, в подведомственности которых находятся передаваемые учреждения, в том числе путем введения новых кодов бюджетной классификации расходов и путем перераспределения бюджетных ассигнований по кодам бюджетной классификации расходов;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перераспределением бюджетных ассигнований, предусмотренных на выплату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Волгограда, по кодам бюджетной классификации расходов и между главными распорядителями бюджетных средств Волгограда в соответствии с решениями Волгоградской городской Думы о присуждении стипендий;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бюджетных ассигнований, предусмотренных на предоставление грантов в форме субсидий на поддержку реализации проектов в области культуры и искусства муниципальным учреждениям Волгограда в сфере культуры и искусства, не являющимся казенными учреждениями, по кодам бюджетной классификации расходов и (или) между главными распорядителями бюджетных средств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и ведомственные целевые программы Волгограда, а также в случае изменения способа реализации мероприятий муниципальных программ и ведомственных целевых программ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дорожное хозяйство, в том числе путем изменения расходов, предусмотренных в форме предоставления субсидий юридическим лицам;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бюджетных ассигнований по кодам бюджетной классификации расходов в пределах средств, предусмотренных на реализацию мероприятия «Применение регулируемых тарифов в обеспечении доступности транспортных услуг населению» задачи «Обеспечение доступности и повышение качества транспортного обслуживания населения всеми видами городского транспорта» в рамках муниципальной программы «Содержание и развитие улично-дорожной сети Волгограда и обеспечение эффективной работы транспортной инфраструктуры Волгограда» (в том числе путем изменения расходов, предусмотренных в форме предоставления субсидий юридическим лицам);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бюджетных ассигнований в целях обеспечения заключения концессионных соглашений по кодам бюджетной классификации расходов (в том числе в форме предоставления субсидий юридическим лицам) и между главными распорядителями бюджетных средств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осуществления выплат, сокращающих долговые обязательства Волгограда в соответствии со статьей 96 Бюджетного кодекса Российской Федерации;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перераспределения бюджетных ассигнований между видами источников финансирования дефицита бюджета Волгограда в ходе исполнения бюджета Волгограда в пределах общего объема бюджетных ассигнований по источникам финансирования дефицита бюджета Волгограда;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образования на начало года остатков средств вышестоящих бюджетов, не требующих возврата, а также остатков средств прочих безвозмездных поступлений от физических и юридических лиц (в том числе добровольные пожертвования), поступивших в бюджет Волгограда на цели, указанные при их предоставлении;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  <w:szCs w:val="28"/>
        </w:rPr>
        <w:t>в случае необходимости перераспределения бюджетных ассигнований, предусмотренных на взносы на капитальный ремонт общего имущества в многоквартирных домах, между подразделами 0501 «Жилищное хозяйство» и 0113 «Другие общегосударственные вопросы».».</w:t>
      </w:r>
    </w:p>
    <w:p w:rsidR="001435DC" w:rsidRPr="001435DC" w:rsidRDefault="001435DC" w:rsidP="001435D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1.3. Приложения 1 – 6 к вышеуказанному решению изложить в редакции согласно приложениям 1 – 6 к настоящему решению соответственно.</w:t>
      </w:r>
    </w:p>
    <w:p w:rsidR="001435DC" w:rsidRPr="001435DC" w:rsidRDefault="001435DC" w:rsidP="001435D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1.4. Приложения 8 – 10 к вышеуказанному решению изложить в редакции согласно приложениям 7 – 9 к настоящему решению соответственно</w:t>
      </w:r>
      <w:r w:rsidR="003C03C7">
        <w:rPr>
          <w:rFonts w:ascii="Times New Roman" w:hAnsi="Times New Roman" w:cs="Times New Roman"/>
          <w:sz w:val="28"/>
          <w:szCs w:val="28"/>
        </w:rPr>
        <w:t>.</w:t>
      </w:r>
    </w:p>
    <w:p w:rsidR="001435DC" w:rsidRPr="001435DC" w:rsidRDefault="001435DC" w:rsidP="001435D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1.5. Приложение 13 к вышеуказанному решению изложить в редакции согласно приложению 10 к настоящему решению.</w:t>
      </w:r>
    </w:p>
    <w:p w:rsidR="001435DC" w:rsidRPr="001435DC" w:rsidRDefault="001435DC" w:rsidP="001435D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435DC" w:rsidRPr="001435DC" w:rsidRDefault="001435DC" w:rsidP="001435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35DC">
        <w:rPr>
          <w:sz w:val="28"/>
        </w:rPr>
        <w:t xml:space="preserve">3. </w:t>
      </w:r>
      <w:r w:rsidRPr="001435DC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1435DC">
        <w:rPr>
          <w:sz w:val="28"/>
          <w:szCs w:val="28"/>
        </w:rPr>
        <w:t>.</w:t>
      </w:r>
    </w:p>
    <w:p w:rsidR="001435DC" w:rsidRPr="001435DC" w:rsidRDefault="001435DC" w:rsidP="001435DC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5DC">
        <w:rPr>
          <w:rFonts w:ascii="Times New Roman" w:hAnsi="Times New Roman" w:cs="Times New Roman"/>
          <w:sz w:val="28"/>
          <w:szCs w:val="28"/>
        </w:rPr>
        <w:t>4.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1435DC" w:rsidRPr="001435DC" w:rsidRDefault="001435DC" w:rsidP="001435DC">
      <w:pPr>
        <w:tabs>
          <w:tab w:val="left" w:pos="9639"/>
        </w:tabs>
        <w:jc w:val="both"/>
        <w:rPr>
          <w:sz w:val="28"/>
          <w:szCs w:val="28"/>
        </w:rPr>
      </w:pPr>
    </w:p>
    <w:p w:rsidR="001435DC" w:rsidRPr="001435DC" w:rsidRDefault="001435DC" w:rsidP="001435DC">
      <w:pPr>
        <w:tabs>
          <w:tab w:val="left" w:pos="9639"/>
        </w:tabs>
        <w:jc w:val="both"/>
        <w:rPr>
          <w:sz w:val="28"/>
          <w:szCs w:val="28"/>
        </w:rPr>
      </w:pPr>
    </w:p>
    <w:p w:rsidR="001435DC" w:rsidRPr="001435DC" w:rsidRDefault="001435DC" w:rsidP="001435DC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1435DC" w:rsidRPr="001435DC" w:rsidTr="00D028E6">
        <w:tc>
          <w:tcPr>
            <w:tcW w:w="5778" w:type="dxa"/>
          </w:tcPr>
          <w:p w:rsidR="001435DC" w:rsidRPr="001435DC" w:rsidRDefault="001435DC" w:rsidP="001435DC">
            <w:pPr>
              <w:rPr>
                <w:sz w:val="28"/>
                <w:szCs w:val="28"/>
              </w:rPr>
            </w:pPr>
            <w:r w:rsidRPr="001435DC">
              <w:rPr>
                <w:sz w:val="28"/>
                <w:szCs w:val="28"/>
              </w:rPr>
              <w:t>Председатель</w:t>
            </w:r>
          </w:p>
          <w:p w:rsidR="001435DC" w:rsidRPr="001435DC" w:rsidRDefault="001435DC" w:rsidP="001435DC">
            <w:pPr>
              <w:rPr>
                <w:sz w:val="28"/>
                <w:szCs w:val="28"/>
              </w:rPr>
            </w:pPr>
            <w:r w:rsidRPr="001435DC">
              <w:rPr>
                <w:sz w:val="28"/>
                <w:szCs w:val="28"/>
              </w:rPr>
              <w:t>Волгоградской городской Думы</w:t>
            </w:r>
          </w:p>
          <w:p w:rsidR="001435DC" w:rsidRPr="001435DC" w:rsidRDefault="001435DC" w:rsidP="001435DC">
            <w:pPr>
              <w:rPr>
                <w:sz w:val="28"/>
                <w:szCs w:val="28"/>
              </w:rPr>
            </w:pPr>
          </w:p>
          <w:p w:rsidR="001435DC" w:rsidRPr="001435DC" w:rsidRDefault="001435DC" w:rsidP="001435DC">
            <w:pPr>
              <w:rPr>
                <w:sz w:val="28"/>
                <w:szCs w:val="28"/>
              </w:rPr>
            </w:pPr>
            <w:r w:rsidRPr="001435DC">
              <w:rPr>
                <w:sz w:val="28"/>
                <w:szCs w:val="28"/>
              </w:rPr>
              <w:t xml:space="preserve">                             </w:t>
            </w:r>
            <w:r w:rsidR="00D30F0C">
              <w:rPr>
                <w:sz w:val="28"/>
                <w:szCs w:val="28"/>
              </w:rPr>
              <w:t xml:space="preserve"> </w:t>
            </w:r>
            <w:r w:rsidRPr="001435DC">
              <w:rPr>
                <w:sz w:val="28"/>
                <w:szCs w:val="28"/>
              </w:rPr>
              <w:t xml:space="preserve">        В.В.Колесников</w:t>
            </w:r>
          </w:p>
        </w:tc>
        <w:tc>
          <w:tcPr>
            <w:tcW w:w="3969" w:type="dxa"/>
          </w:tcPr>
          <w:p w:rsidR="00D30F0C" w:rsidRDefault="00D30F0C" w:rsidP="00D30F0C">
            <w:pPr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Исполняющий полномочия</w:t>
            </w:r>
          </w:p>
          <w:p w:rsidR="00D30F0C" w:rsidRDefault="00D30F0C" w:rsidP="00D30F0C">
            <w:pPr>
              <w:ind w:lef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главы Волгограда</w:t>
            </w:r>
          </w:p>
          <w:p w:rsidR="00D30F0C" w:rsidRDefault="00D30F0C" w:rsidP="00D30F0C">
            <w:pPr>
              <w:rPr>
                <w:sz w:val="28"/>
                <w:szCs w:val="28"/>
              </w:rPr>
            </w:pPr>
          </w:p>
          <w:p w:rsidR="001435DC" w:rsidRPr="001435DC" w:rsidRDefault="00D30F0C" w:rsidP="00D30F0C">
            <w:pPr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4D75D6" w:rsidRPr="001435DC" w:rsidRDefault="004D75D6" w:rsidP="001435DC">
      <w:pPr>
        <w:ind w:right="5670"/>
        <w:rPr>
          <w:sz w:val="28"/>
          <w:szCs w:val="28"/>
        </w:rPr>
      </w:pPr>
    </w:p>
    <w:p w:rsidR="005F5EAC" w:rsidRPr="001435DC" w:rsidRDefault="005F5EAC" w:rsidP="001435DC">
      <w:pPr>
        <w:tabs>
          <w:tab w:val="left" w:pos="9639"/>
        </w:tabs>
        <w:rPr>
          <w:sz w:val="28"/>
          <w:szCs w:val="28"/>
        </w:rPr>
      </w:pPr>
    </w:p>
    <w:p w:rsidR="001435DC" w:rsidRPr="001435DC" w:rsidRDefault="001435DC" w:rsidP="001435DC">
      <w:pPr>
        <w:tabs>
          <w:tab w:val="left" w:pos="9639"/>
        </w:tabs>
        <w:rPr>
          <w:sz w:val="28"/>
          <w:szCs w:val="28"/>
        </w:rPr>
      </w:pPr>
    </w:p>
    <w:p w:rsidR="001435DC" w:rsidRPr="001435DC" w:rsidRDefault="001435DC" w:rsidP="001435DC">
      <w:pPr>
        <w:tabs>
          <w:tab w:val="left" w:pos="9639"/>
        </w:tabs>
        <w:rPr>
          <w:sz w:val="28"/>
          <w:szCs w:val="28"/>
        </w:rPr>
      </w:pPr>
    </w:p>
    <w:p w:rsidR="001435DC" w:rsidRPr="001435DC" w:rsidRDefault="001435DC" w:rsidP="001435DC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1435DC" w:rsidRPr="001435DC" w:rsidSect="001435DC">
      <w:headerReference w:type="even" r:id="rId11"/>
      <w:headerReference w:type="default" r:id="rId12"/>
      <w:headerReference w:type="first" r:id="rId13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AC2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514506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23C5"/>
    <w:rsid w:val="000D753F"/>
    <w:rsid w:val="0010551E"/>
    <w:rsid w:val="001435DC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692D"/>
    <w:rsid w:val="003414A8"/>
    <w:rsid w:val="00361F4A"/>
    <w:rsid w:val="00382528"/>
    <w:rsid w:val="00387B26"/>
    <w:rsid w:val="003C03C7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3190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E6AC2"/>
    <w:rsid w:val="00A07440"/>
    <w:rsid w:val="00A25AC1"/>
    <w:rsid w:val="00AB37DC"/>
    <w:rsid w:val="00AD47C9"/>
    <w:rsid w:val="00AE6D24"/>
    <w:rsid w:val="00B537FA"/>
    <w:rsid w:val="00B86D39"/>
    <w:rsid w:val="00BA560D"/>
    <w:rsid w:val="00BB75F2"/>
    <w:rsid w:val="00C53FF7"/>
    <w:rsid w:val="00C7414B"/>
    <w:rsid w:val="00C85A85"/>
    <w:rsid w:val="00CD3203"/>
    <w:rsid w:val="00D0358D"/>
    <w:rsid w:val="00D30F0C"/>
    <w:rsid w:val="00D65A16"/>
    <w:rsid w:val="00D952CD"/>
    <w:rsid w:val="00DA6C47"/>
    <w:rsid w:val="00DE6DE0"/>
    <w:rsid w:val="00DF664F"/>
    <w:rsid w:val="00E268E5"/>
    <w:rsid w:val="00E2773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0CD36FB5-DB1D-45F5-A839-3983B9DA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1435DC"/>
    <w:rPr>
      <w:color w:val="0000FF"/>
      <w:u w:val="single"/>
    </w:rPr>
  </w:style>
  <w:style w:type="paragraph" w:customStyle="1" w:styleId="ConsNormal">
    <w:name w:val="ConsNormal"/>
    <w:rsid w:val="001435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4E25CC08AC778285BBB2CB641C36D62400669485DE6EC2722466908FA0A3BC173FDF67191CC2EB16A56204305E6AEA4162E776504F1A2D3758A8DZCQFH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FDB581712D96631131363AEDE202774D4899C9AAB9B42E0EE2AE82E55A53FEAF8E62F2595BD318B9C148A06577CBA2077EC94A8E88Be50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A4E25CC08AC778285BBB2CB641C36D62400669485DE6EC2722466908FA0A3BC173FDF67191CC2EB16A56204005E6AEA4162E776504F1A2D3758A8DZCQF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6DD3067-31F0-4B6B-9E8A-2678CEBB63B3}"/>
</file>

<file path=customXml/itemProps2.xml><?xml version="1.0" encoding="utf-8"?>
<ds:datastoreItem xmlns:ds="http://schemas.openxmlformats.org/officeDocument/2006/customXml" ds:itemID="{26A848B5-68C0-4979-BEB8-83E3C6D173E7}"/>
</file>

<file path=customXml/itemProps3.xml><?xml version="1.0" encoding="utf-8"?>
<ds:datastoreItem xmlns:ds="http://schemas.openxmlformats.org/officeDocument/2006/customXml" ds:itemID="{D7823063-DA19-4B50-92BB-1314CC51C6B7}"/>
</file>

<file path=customXml/itemProps4.xml><?xml version="1.0" encoding="utf-8"?>
<ds:datastoreItem xmlns:ds="http://schemas.openxmlformats.org/officeDocument/2006/customXml" ds:itemID="{52210A44-9E5E-47A8-8829-922DE6F4B1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21</cp:revision>
  <cp:lastPrinted>2018-09-17T12:50:00Z</cp:lastPrinted>
  <dcterms:created xsi:type="dcterms:W3CDTF">2018-09-17T12:51:00Z</dcterms:created>
  <dcterms:modified xsi:type="dcterms:W3CDTF">2023-07-21T10:17:00Z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